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623DE">
      <w:pPr>
        <w:tabs>
          <w:tab w:val="left" w:pos="7371"/>
        </w:tabs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Обобщенные сведения о типичных нарушениях, выявляемых учреждениями, осуществляющими государственный санитарный надзор, на территории </w:t>
      </w:r>
    </w:p>
    <w:p w14:paraId="608EB9E3">
      <w:pPr>
        <w:tabs>
          <w:tab w:val="left" w:pos="7371"/>
        </w:tabs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Дрибинского района </w:t>
      </w:r>
      <w:r>
        <w:rPr>
          <w:spacing w:val="-3"/>
          <w:sz w:val="28"/>
          <w:szCs w:val="28"/>
          <w:shd w:val="clear" w:color="auto" w:fill="FFFFFF"/>
        </w:rPr>
        <w:t>в первом полугодии 2026 года</w:t>
      </w:r>
    </w:p>
    <w:p w14:paraId="4BC89B51">
      <w:pPr>
        <w:tabs>
          <w:tab w:val="left" w:leader="underscore" w:pos="1152"/>
          <w:tab w:val="left" w:leader="underscore" w:pos="8626"/>
        </w:tabs>
        <w:spacing w:line="240" w:lineRule="atLeast"/>
        <w:contextualSpacing/>
        <w:jc w:val="center"/>
        <w:rPr>
          <w:spacing w:val="-3"/>
          <w:sz w:val="28"/>
          <w:szCs w:val="28"/>
          <w:shd w:val="clear" w:color="auto" w:fill="FFFFFF"/>
        </w:rPr>
      </w:pPr>
    </w:p>
    <w:tbl>
      <w:tblPr>
        <w:tblStyle w:val="3"/>
        <w:tblpPr w:leftFromText="180" w:rightFromText="180" w:vertAnchor="text" w:tblpX="-493" w:tblpY="1"/>
        <w:tblOverlap w:val="never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3282"/>
        <w:gridCol w:w="3202"/>
        <w:gridCol w:w="3421"/>
      </w:tblGrid>
      <w:tr w14:paraId="5109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0C122BF9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№</w:t>
            </w:r>
          </w:p>
          <w:p w14:paraId="16909FD9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п/п</w:t>
            </w:r>
          </w:p>
        </w:tc>
        <w:tc>
          <w:tcPr>
            <w:tcW w:w="3282" w:type="dxa"/>
          </w:tcPr>
          <w:p w14:paraId="452924A7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Объекты контроля (надзора) виды деятельности</w:t>
            </w:r>
          </w:p>
        </w:tc>
        <w:tc>
          <w:tcPr>
            <w:tcW w:w="3202" w:type="dxa"/>
          </w:tcPr>
          <w:p w14:paraId="5BA03EE3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Типичные нарушения</w:t>
            </w:r>
          </w:p>
        </w:tc>
        <w:tc>
          <w:tcPr>
            <w:tcW w:w="3421" w:type="dxa"/>
          </w:tcPr>
          <w:p w14:paraId="7C3C8342">
            <w:pPr>
              <w:spacing w:line="240" w:lineRule="atLeast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Наименование технических регламентов таможенного союза, технических регламентов Евразийско-экономического союза или общих санитарно- эпидемиологических Требований, установленных СМРБ,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14:paraId="295D7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303BDFA0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1.</w:t>
            </w:r>
          </w:p>
        </w:tc>
        <w:tc>
          <w:tcPr>
            <w:tcW w:w="3282" w:type="dxa"/>
          </w:tcPr>
          <w:p w14:paraId="62982289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3202" w:type="dxa"/>
          </w:tcPr>
          <w:p w14:paraId="655A6F0C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spacing w:val="-3"/>
                <w:sz w:val="28"/>
                <w:szCs w:val="28"/>
                <w:lang w:val="ru-RU"/>
              </w:rPr>
              <w:t>Надзорные</w:t>
            </w: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 xml:space="preserve"> мероприятия в 1 полугодии 2026 года не проводились - объект закрыт на капитальный ремонт. Надзорные мероприятия запланированы на 2 полугодие.</w:t>
            </w:r>
          </w:p>
        </w:tc>
        <w:tc>
          <w:tcPr>
            <w:tcW w:w="3421" w:type="dxa"/>
          </w:tcPr>
          <w:p w14:paraId="64375EDA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center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-</w:t>
            </w:r>
          </w:p>
        </w:tc>
      </w:tr>
      <w:tr w14:paraId="575A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9" w:hRule="atLeast"/>
        </w:trPr>
        <w:tc>
          <w:tcPr>
            <w:tcW w:w="585" w:type="dxa"/>
          </w:tcPr>
          <w:p w14:paraId="4DA9B45C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2.</w:t>
            </w:r>
          </w:p>
        </w:tc>
        <w:tc>
          <w:tcPr>
            <w:tcW w:w="3282" w:type="dxa"/>
          </w:tcPr>
          <w:p w14:paraId="381F7072">
            <w:pPr>
              <w:spacing w:line="240" w:lineRule="atLeast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3202" w:type="dxa"/>
          </w:tcPr>
          <w:p w14:paraId="2592427D">
            <w:pPr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реализация пищевой продукции</w:t>
            </w:r>
            <w:r>
              <w:rPr>
                <w:bCs/>
              </w:rPr>
              <w:t xml:space="preserve"> </w:t>
            </w:r>
            <w:r>
              <w:rPr>
                <w:sz w:val="28"/>
                <w:szCs w:val="28"/>
              </w:rPr>
              <w:t>без этикеток (товарных ярлыков или листов - вкладышей)</w:t>
            </w:r>
            <w:r>
              <w:rPr>
                <w:spacing w:val="-3"/>
                <w:sz w:val="28"/>
                <w:szCs w:val="28"/>
              </w:rPr>
              <w:t xml:space="preserve"> (19% </w:t>
            </w:r>
            <w:r>
              <w:rPr>
                <w:sz w:val="28"/>
                <w:szCs w:val="28"/>
              </w:rPr>
              <w:t>удельного веса объектов)</w:t>
            </w:r>
          </w:p>
          <w:p w14:paraId="7070E197">
            <w:pPr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</w:p>
        </w:tc>
        <w:tc>
          <w:tcPr>
            <w:tcW w:w="3421" w:type="dxa"/>
          </w:tcPr>
          <w:p w14:paraId="79AC83E3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ТР ТС 021-2011  «О безопасности пищевой продукции»;</w:t>
            </w:r>
          </w:p>
          <w:p w14:paraId="1A340570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СанНиП «</w:t>
            </w:r>
            <w:r>
              <w:rPr>
                <w:sz w:val="28"/>
                <w:szCs w:val="28"/>
                <w:u w:val="single"/>
              </w:rPr>
              <w:t xml:space="preserve">Санитарно- эпидемиологические требования для организаций, осуществляющих торговлю пищевой продукцией» утв.постановлением МЗ РБ </w:t>
            </w:r>
            <w:r>
              <w:rPr>
                <w:spacing w:val="-3"/>
                <w:sz w:val="28"/>
                <w:szCs w:val="28"/>
              </w:rPr>
              <w:t xml:space="preserve">№132 от 28.08.2012 </w:t>
            </w:r>
          </w:p>
        </w:tc>
      </w:tr>
      <w:tr w14:paraId="5FC98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B485741">
            <w:pPr>
              <w:spacing w:line="240" w:lineRule="atLeast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3.</w:t>
            </w:r>
          </w:p>
        </w:tc>
        <w:tc>
          <w:tcPr>
            <w:tcW w:w="3282" w:type="dxa"/>
          </w:tcPr>
          <w:p w14:paraId="2797883A">
            <w:pPr>
              <w:spacing w:line="240" w:lineRule="atLeast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Торговые объекты, реализующие непродовольственные товары</w:t>
            </w:r>
          </w:p>
        </w:tc>
        <w:tc>
          <w:tcPr>
            <w:tcW w:w="3202" w:type="dxa"/>
          </w:tcPr>
          <w:p w14:paraId="0EF03D74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торговых объектах, реализующих товары для детей, промышленные товары отсутствовали документы, подтверждающие качество и безопасность реализуемых товаров (35% удельного веса)</w:t>
            </w:r>
          </w:p>
        </w:tc>
        <w:tc>
          <w:tcPr>
            <w:tcW w:w="3421" w:type="dxa"/>
          </w:tcPr>
          <w:p w14:paraId="2C78638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be-BY"/>
              </w:rPr>
              <w:t>СанНиП  утв. Постановлением МЗ РБ от 20 декабря 2012г № 200</w:t>
            </w:r>
          </w:p>
        </w:tc>
      </w:tr>
      <w:tr w14:paraId="50F3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6D19454">
            <w:pPr>
              <w:spacing w:line="240" w:lineRule="atLeast"/>
              <w:rPr>
                <w:color w:val="auto"/>
                <w:spacing w:val="-3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4.</w:t>
            </w:r>
          </w:p>
        </w:tc>
        <w:tc>
          <w:tcPr>
            <w:tcW w:w="3282" w:type="dxa"/>
          </w:tcPr>
          <w:p w14:paraId="271AB1FA">
            <w:pPr>
              <w:spacing w:line="240" w:lineRule="atLeast"/>
              <w:jc w:val="both"/>
              <w:rPr>
                <w:color w:val="auto"/>
                <w:spacing w:val="-3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3202" w:type="dxa"/>
          </w:tcPr>
          <w:p w14:paraId="6704010C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своевременный ремонт санитарно-бытовых помещений -4  (20% удельного веса объектов);</w:t>
            </w:r>
          </w:p>
          <w:p w14:paraId="33C90ECB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своевременный ремонт и уборка санитарно-бытовых помещени-4 (20% удельного веса объектов);</w:t>
            </w:r>
          </w:p>
          <w:p w14:paraId="7C7C0A0E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-отсутствие сплошного ограждения территорий животноводческих объектов - 7 (40% удельного веса объектов );</w:t>
            </w:r>
          </w:p>
        </w:tc>
        <w:tc>
          <w:tcPr>
            <w:tcW w:w="3421" w:type="dxa"/>
          </w:tcPr>
          <w:p w14:paraId="4DD9F1E8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СССЭТ № 42 </w:t>
            </w:r>
          </w:p>
          <w:p w14:paraId="4187FA29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утв. Постановлением СМ РБ 24.01.2020г,</w:t>
            </w:r>
          </w:p>
          <w:p w14:paraId="46016ADF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</w:p>
          <w:p w14:paraId="4BB2CDE4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</w:p>
        </w:tc>
      </w:tr>
      <w:tr w14:paraId="1B387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07A4AA77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5.</w:t>
            </w:r>
          </w:p>
        </w:tc>
        <w:tc>
          <w:tcPr>
            <w:tcW w:w="3282" w:type="dxa"/>
          </w:tcPr>
          <w:p w14:paraId="207B2E1A">
            <w:pPr>
              <w:spacing w:line="240" w:lineRule="atLeast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3202" w:type="dxa"/>
          </w:tcPr>
          <w:p w14:paraId="2701CA82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spacing w:val="-3"/>
                <w:sz w:val="28"/>
                <w:szCs w:val="28"/>
                <w:lang w:val="ru-RU"/>
              </w:rPr>
              <w:t>На</w:t>
            </w: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 xml:space="preserve"> территории Дрибинского района отсутствуют</w:t>
            </w:r>
          </w:p>
        </w:tc>
        <w:tc>
          <w:tcPr>
            <w:tcW w:w="3421" w:type="dxa"/>
          </w:tcPr>
          <w:p w14:paraId="7B03691B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>-</w:t>
            </w:r>
          </w:p>
        </w:tc>
      </w:tr>
      <w:tr w14:paraId="4FBDC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C52EB81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6.</w:t>
            </w:r>
          </w:p>
        </w:tc>
        <w:tc>
          <w:tcPr>
            <w:tcW w:w="3282" w:type="dxa"/>
          </w:tcPr>
          <w:p w14:paraId="1DB1FB32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Условия труда работающих</w:t>
            </w:r>
          </w:p>
        </w:tc>
        <w:tc>
          <w:tcPr>
            <w:tcW w:w="3202" w:type="dxa"/>
          </w:tcPr>
          <w:p w14:paraId="45EE4D54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-не проводится централизовано стирка спецодежды в соответствии с характером работы -2 (35%)</w:t>
            </w:r>
          </w:p>
        </w:tc>
        <w:tc>
          <w:tcPr>
            <w:tcW w:w="3421" w:type="dxa"/>
          </w:tcPr>
          <w:p w14:paraId="3E16CC63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СССЭТ № 66</w:t>
            </w:r>
          </w:p>
          <w:p w14:paraId="447498DF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утв. Постановлением СМ РБ 01.02.2020г,</w:t>
            </w:r>
          </w:p>
          <w:p w14:paraId="52C10528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</w:p>
        </w:tc>
      </w:tr>
      <w:tr w14:paraId="72C14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D985B04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7.</w:t>
            </w:r>
          </w:p>
        </w:tc>
        <w:tc>
          <w:tcPr>
            <w:tcW w:w="3282" w:type="dxa"/>
          </w:tcPr>
          <w:p w14:paraId="7F3495EB">
            <w:pPr>
              <w:spacing w:line="240" w:lineRule="atLeast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Учреждения образования</w:t>
            </w:r>
          </w:p>
        </w:tc>
        <w:tc>
          <w:tcPr>
            <w:tcW w:w="3202" w:type="dxa"/>
          </w:tcPr>
          <w:p w14:paraId="48EAC9A0">
            <w:pPr>
              <w:spacing w:line="240" w:lineRule="atLeast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 в части материально-технического обеспечения пищеблоков (32% удельного веса от всех учреждений);</w:t>
            </w:r>
          </w:p>
          <w:p w14:paraId="4EE4753B">
            <w:pPr>
              <w:spacing w:line="240" w:lineRule="atLeast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-в части проведения производственного контроля -3 (59%); </w:t>
            </w:r>
          </w:p>
          <w:p w14:paraId="5BD4CEE3">
            <w:pPr>
              <w:spacing w:line="240" w:lineRule="atLeast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-в части безопасности продовольственного сырья и пищевой продукции  (9%)</w:t>
            </w:r>
          </w:p>
        </w:tc>
        <w:tc>
          <w:tcPr>
            <w:tcW w:w="3421" w:type="dxa"/>
          </w:tcPr>
          <w:p w14:paraId="5EE3984F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rPr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i/>
                <w:color w:val="000000" w:themeColor="text1"/>
                <w:sz w:val="28"/>
                <w:szCs w:val="28"/>
                <w:lang w:val="be-BY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be-BY"/>
              </w:rPr>
              <w:t>СЭТ, утв. Постановлением Совета Министров 07.08.2019 № 525;</w:t>
            </w:r>
          </w:p>
          <w:p w14:paraId="7BAFF56B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СНиП, утв. Постановлением МЗ РБ 27.12.2012 </w:t>
            </w:r>
          </w:p>
          <w:p w14:paraId="33177A81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206</w:t>
            </w:r>
          </w:p>
        </w:tc>
      </w:tr>
      <w:tr w14:paraId="24ED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AAE1642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8.</w:t>
            </w:r>
          </w:p>
        </w:tc>
        <w:tc>
          <w:tcPr>
            <w:tcW w:w="3282" w:type="dxa"/>
          </w:tcPr>
          <w:p w14:paraId="4E96704C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Санаторно-курортные и оздоровительные организации</w:t>
            </w:r>
          </w:p>
        </w:tc>
        <w:tc>
          <w:tcPr>
            <w:tcW w:w="3202" w:type="dxa"/>
          </w:tcPr>
          <w:p w14:paraId="677E8C06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sz w:val="28"/>
                <w:szCs w:val="28"/>
              </w:rPr>
              <w:t>в части проведения производственного контроля, соблюдения дезрежима  (50%)</w:t>
            </w:r>
          </w:p>
        </w:tc>
        <w:tc>
          <w:tcPr>
            <w:tcW w:w="3421" w:type="dxa"/>
          </w:tcPr>
          <w:p w14:paraId="62BDC7BA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ССЭТ, утв. Постановлением СМ РБ № 663 от 26.09.2019 </w:t>
            </w:r>
          </w:p>
          <w:p w14:paraId="166AD66E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color w:val="000000"/>
                <w:spacing w:val="-3"/>
                <w:sz w:val="28"/>
                <w:szCs w:val="28"/>
              </w:rPr>
            </w:pPr>
          </w:p>
        </w:tc>
      </w:tr>
      <w:tr w14:paraId="38960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AE1CF07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9.</w:t>
            </w:r>
          </w:p>
        </w:tc>
        <w:tc>
          <w:tcPr>
            <w:tcW w:w="3282" w:type="dxa"/>
          </w:tcPr>
          <w:p w14:paraId="2357DF7A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Источники и системы питьевого водоснабжения</w:t>
            </w:r>
          </w:p>
        </w:tc>
        <w:tc>
          <w:tcPr>
            <w:tcW w:w="3202" w:type="dxa"/>
          </w:tcPr>
          <w:p w14:paraId="12A9899A">
            <w:pPr>
              <w:spacing w:line="240" w:lineRule="atLeast"/>
              <w:contextualSpacing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в части качества и безопасности в</w:t>
            </w:r>
            <w:r>
              <w:rPr>
                <w:sz w:val="28"/>
                <w:szCs w:val="28"/>
                <w:lang w:val="be-BY"/>
              </w:rPr>
              <w:t xml:space="preserve">оды питьевой из шахтных колодцев по санитарно-химическим показателям (органолептические показатели и содержание нитратов) - 19 (5%) </w:t>
            </w:r>
          </w:p>
        </w:tc>
        <w:tc>
          <w:tcPr>
            <w:tcW w:w="3421" w:type="dxa"/>
          </w:tcPr>
          <w:p w14:paraId="1358B68B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ССЭТ, утв.Постановлением СМ РБ №914 от 19.12.2018 (в редакции постановления СМ РБ №85 от 06.02.2024)</w:t>
            </w:r>
          </w:p>
        </w:tc>
      </w:tr>
      <w:tr w14:paraId="3A09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27235771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10.</w:t>
            </w:r>
          </w:p>
        </w:tc>
        <w:tc>
          <w:tcPr>
            <w:tcW w:w="3282" w:type="dxa"/>
          </w:tcPr>
          <w:p w14:paraId="04133FDD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Объекты по оказанию бытовых услуг</w:t>
            </w:r>
          </w:p>
        </w:tc>
        <w:tc>
          <w:tcPr>
            <w:tcW w:w="3202" w:type="dxa"/>
          </w:tcPr>
          <w:p w14:paraId="0E4AAC53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Не обеспечено исправное состояние инвентаря в бане-тазы имеют дефекты, трещины -1 (100%)</w:t>
            </w:r>
          </w:p>
        </w:tc>
        <w:tc>
          <w:tcPr>
            <w:tcW w:w="3421" w:type="dxa"/>
          </w:tcPr>
          <w:p w14:paraId="1BCECB9C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СНиП, утв. Постановлением МЗ РБ №44 от 16.05.2022  </w:t>
            </w:r>
          </w:p>
        </w:tc>
      </w:tr>
      <w:tr w14:paraId="1B8C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789B199E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11.</w:t>
            </w:r>
          </w:p>
        </w:tc>
        <w:tc>
          <w:tcPr>
            <w:tcW w:w="3282" w:type="dxa"/>
          </w:tcPr>
          <w:p w14:paraId="08CBADB6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Общежития и иные места проживания</w:t>
            </w:r>
          </w:p>
        </w:tc>
        <w:tc>
          <w:tcPr>
            <w:tcW w:w="3202" w:type="dxa"/>
          </w:tcPr>
          <w:p w14:paraId="59803423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Оборудование кухни на всех этажах общежития находится в технически не исправном состоянии -1 (100%)</w:t>
            </w:r>
          </w:p>
        </w:tc>
        <w:tc>
          <w:tcPr>
            <w:tcW w:w="3421" w:type="dxa"/>
          </w:tcPr>
          <w:p w14:paraId="182E07AD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ССЭТ, утв. Постановлением СМ РБ № 740 от 04.11.2019 </w:t>
            </w:r>
          </w:p>
          <w:p w14:paraId="710A4C2C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rPr>
                <w:spacing w:val="-3"/>
                <w:sz w:val="28"/>
                <w:szCs w:val="28"/>
              </w:rPr>
            </w:pPr>
          </w:p>
        </w:tc>
      </w:tr>
      <w:tr w14:paraId="1935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2AFCC98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12.</w:t>
            </w:r>
          </w:p>
        </w:tc>
        <w:tc>
          <w:tcPr>
            <w:tcW w:w="3282" w:type="dxa"/>
          </w:tcPr>
          <w:p w14:paraId="6D7BBEB9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Жилые дома</w:t>
            </w:r>
          </w:p>
        </w:tc>
        <w:tc>
          <w:tcPr>
            <w:tcW w:w="3202" w:type="dxa"/>
          </w:tcPr>
          <w:p w14:paraId="51F27897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не своевременная очистка мусорных контейнеров, территории контейнерных площадок – 9 (33%) </w:t>
            </w:r>
          </w:p>
        </w:tc>
        <w:tc>
          <w:tcPr>
            <w:tcW w:w="3421" w:type="dxa"/>
          </w:tcPr>
          <w:p w14:paraId="71AF2E16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СанНиП, утв.Постановлением МЗ РБ №22 от 02.02.2023 </w:t>
            </w:r>
          </w:p>
        </w:tc>
      </w:tr>
      <w:tr w14:paraId="0BB3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585" w:type="dxa"/>
          </w:tcPr>
          <w:p w14:paraId="18941D22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13.</w:t>
            </w:r>
          </w:p>
        </w:tc>
        <w:tc>
          <w:tcPr>
            <w:tcW w:w="3282" w:type="dxa"/>
          </w:tcPr>
          <w:p w14:paraId="77066938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Организации, оказывающие социальные услуги</w:t>
            </w:r>
          </w:p>
        </w:tc>
        <w:tc>
          <w:tcPr>
            <w:tcW w:w="3202" w:type="dxa"/>
          </w:tcPr>
          <w:p w14:paraId="448BA69E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spacing w:val="-3"/>
                <w:sz w:val="28"/>
                <w:szCs w:val="28"/>
                <w:lang w:val="ru-RU"/>
              </w:rPr>
              <w:t>Надзорные</w:t>
            </w: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 xml:space="preserve"> мероприятия в 1 полугодии 2026 года не проводились. Надзорные мероприятия запланированы на 2 полугодие</w:t>
            </w:r>
          </w:p>
        </w:tc>
        <w:tc>
          <w:tcPr>
            <w:tcW w:w="3421" w:type="dxa"/>
          </w:tcPr>
          <w:p w14:paraId="0EB74E98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center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>-</w:t>
            </w:r>
          </w:p>
        </w:tc>
      </w:tr>
      <w:tr w14:paraId="3D2D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A370703">
            <w:pPr>
              <w:spacing w:line="240" w:lineRule="atLeast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14.</w:t>
            </w:r>
          </w:p>
        </w:tc>
        <w:tc>
          <w:tcPr>
            <w:tcW w:w="3282" w:type="dxa"/>
          </w:tcPr>
          <w:p w14:paraId="78557AAA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Территории населенных пунктов и организаций</w:t>
            </w:r>
          </w:p>
        </w:tc>
        <w:tc>
          <w:tcPr>
            <w:tcW w:w="3202" w:type="dxa"/>
          </w:tcPr>
          <w:p w14:paraId="24FF8AA8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- не своевременная очистка мусорных контейнеров, территории контейнерных площадок – 39 (37%), </w:t>
            </w:r>
          </w:p>
          <w:p w14:paraId="75803B18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- не своевременная очистка на гражданских кладбищах мусорных контейнеров – 68 (66%)</w:t>
            </w:r>
          </w:p>
          <w:p w14:paraId="735240E6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- не своевременная уборка свалок мусора с земель общего пользования  - 12 (9%)</w:t>
            </w:r>
          </w:p>
        </w:tc>
        <w:tc>
          <w:tcPr>
            <w:tcW w:w="3421" w:type="dxa"/>
          </w:tcPr>
          <w:p w14:paraId="20B276AD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СанНиП, утв.Постановлением МЗ РБ №22 от 02.02.2023 </w:t>
            </w:r>
          </w:p>
        </w:tc>
      </w:tr>
      <w:tr w14:paraId="57C6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E3C9E6B">
            <w:pPr>
              <w:spacing w:line="240" w:lineRule="atLeast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15.</w:t>
            </w:r>
          </w:p>
        </w:tc>
        <w:tc>
          <w:tcPr>
            <w:tcW w:w="3282" w:type="dxa"/>
          </w:tcPr>
          <w:p w14:paraId="6018AC70">
            <w:pPr>
              <w:spacing w:line="240" w:lineRule="atLeast"/>
              <w:jc w:val="both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3202" w:type="dxa"/>
          </w:tcPr>
          <w:p w14:paraId="4C734106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color w:val="000000" w:themeColor="text1"/>
                <w:spacing w:val="-3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>Надзорные</w:t>
            </w:r>
            <w:r>
              <w:rPr>
                <w:rFonts w:hint="default"/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мероприятия в 1 полугодии 2026 года не проводились. </w:t>
            </w: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>Надзорные мероприятия запланированы на 2 полугодие</w:t>
            </w:r>
          </w:p>
        </w:tc>
        <w:tc>
          <w:tcPr>
            <w:tcW w:w="3421" w:type="dxa"/>
          </w:tcPr>
          <w:p w14:paraId="15AFD885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center"/>
              <w:rPr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color w:val="000000" w:themeColor="text1"/>
                <w:spacing w:val="-3"/>
                <w:sz w:val="28"/>
                <w:szCs w:val="28"/>
              </w:rPr>
              <w:t>-</w:t>
            </w:r>
          </w:p>
        </w:tc>
      </w:tr>
      <w:tr w14:paraId="62739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291514ED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16.</w:t>
            </w:r>
          </w:p>
        </w:tc>
        <w:tc>
          <w:tcPr>
            <w:tcW w:w="3282" w:type="dxa"/>
          </w:tcPr>
          <w:p w14:paraId="3EFE551B">
            <w:pPr>
              <w:spacing w:line="240" w:lineRule="atLeast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Радиационные объекты</w:t>
            </w:r>
          </w:p>
        </w:tc>
        <w:tc>
          <w:tcPr>
            <w:tcW w:w="3202" w:type="dxa"/>
          </w:tcPr>
          <w:p w14:paraId="0B1AE0C9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both"/>
              <w:rPr>
                <w:rFonts w:hint="default"/>
                <w:spacing w:val="-3"/>
                <w:sz w:val="28"/>
                <w:szCs w:val="28"/>
                <w:lang w:val="ru-RU"/>
              </w:rPr>
            </w:pPr>
            <w:r>
              <w:rPr>
                <w:spacing w:val="-3"/>
                <w:sz w:val="28"/>
                <w:szCs w:val="28"/>
                <w:lang w:val="ru-RU"/>
              </w:rPr>
              <w:t>Типичных</w:t>
            </w:r>
            <w:r>
              <w:rPr>
                <w:rFonts w:hint="default"/>
                <w:spacing w:val="-3"/>
                <w:sz w:val="28"/>
                <w:szCs w:val="28"/>
                <w:lang w:val="ru-RU"/>
              </w:rPr>
              <w:t xml:space="preserve"> нарушений в 1 полугодии 2026 года не выявлено</w:t>
            </w:r>
            <w:bookmarkStart w:id="0" w:name="_GoBack"/>
            <w:bookmarkEnd w:id="0"/>
          </w:p>
        </w:tc>
        <w:tc>
          <w:tcPr>
            <w:tcW w:w="3421" w:type="dxa"/>
          </w:tcPr>
          <w:p w14:paraId="6F9D1CE9">
            <w:pPr>
              <w:tabs>
                <w:tab w:val="left" w:leader="underscore" w:pos="1152"/>
                <w:tab w:val="left" w:leader="underscore" w:pos="8626"/>
              </w:tabs>
              <w:spacing w:line="240" w:lineRule="atLeast"/>
              <w:contextualSpacing/>
              <w:jc w:val="center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-</w:t>
            </w:r>
          </w:p>
        </w:tc>
      </w:tr>
      <w:tr w14:paraId="1A9D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3EFB65FB">
            <w:pPr>
              <w:spacing w:line="240" w:lineRule="atLeas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17.</w:t>
            </w:r>
          </w:p>
        </w:tc>
        <w:tc>
          <w:tcPr>
            <w:tcW w:w="3282" w:type="dxa"/>
          </w:tcPr>
          <w:p w14:paraId="38942E48">
            <w:pPr>
              <w:spacing w:line="240" w:lineRule="atLeast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Организации здравоохранения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3202" w:type="dxa"/>
          </w:tcPr>
          <w:p w14:paraId="7C607BD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части содержания фасадов и входных групп:</w:t>
            </w:r>
          </w:p>
          <w:p w14:paraId="65C51C8E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нарушалась целостность отделочных материалов на крыльце при входе - 7;</w:t>
            </w:r>
          </w:p>
          <w:p w14:paraId="07061719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(70% удельного веса объектов)</w:t>
            </w:r>
          </w:p>
          <w:p w14:paraId="57282F0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части состояния внутренней отделки помещений, исправности мебели и медицинского оборудования:</w:t>
            </w:r>
          </w:p>
          <w:p w14:paraId="0441C257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допускались дефекты во внутренней отделке помещений;</w:t>
            </w:r>
          </w:p>
          <w:p w14:paraId="14A6DBF8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-использовались мебель, санитарно- технические изделия и оборудование с дефектами покрытия – 8</w:t>
            </w:r>
          </w:p>
          <w:p w14:paraId="5605A9F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(80% удельного веса объектов).</w:t>
            </w:r>
          </w:p>
        </w:tc>
        <w:tc>
          <w:tcPr>
            <w:tcW w:w="3421" w:type="dxa"/>
          </w:tcPr>
          <w:p w14:paraId="26C4AC3C">
            <w:pPr>
              <w:pStyle w:val="5"/>
              <w:tabs>
                <w:tab w:val="left" w:pos="5343"/>
              </w:tabs>
              <w:spacing w:line="240" w:lineRule="atLeast"/>
              <w:jc w:val="both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 xml:space="preserve">«Специфические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утвержденные постановлением Совета Министров Республики Беларусь от 03.03.2020 №130 (в редакции постановления Совмина от 02.02.2022 №63) </w:t>
            </w:r>
          </w:p>
          <w:p w14:paraId="154CF04E">
            <w:pPr>
              <w:pStyle w:val="5"/>
              <w:tabs>
                <w:tab w:val="left" w:pos="5343"/>
              </w:tabs>
              <w:spacing w:line="240" w:lineRule="atLeast"/>
              <w:jc w:val="both"/>
              <w:rPr>
                <w:b w:val="0"/>
                <w:i w:val="0"/>
                <w:sz w:val="28"/>
                <w:szCs w:val="28"/>
              </w:rPr>
            </w:pPr>
          </w:p>
        </w:tc>
      </w:tr>
    </w:tbl>
    <w:p w14:paraId="53C660FD">
      <w:pPr>
        <w:ind w:firstLine="709"/>
        <w:contextualSpacing/>
        <w:jc w:val="both"/>
        <w:rPr>
          <w:color w:val="EE0000"/>
          <w:sz w:val="28"/>
          <w:szCs w:val="28"/>
          <w:lang w:eastAsia="en-US"/>
        </w:rPr>
      </w:pPr>
    </w:p>
    <w:sectPr>
      <w:pgSz w:w="11906" w:h="16838"/>
      <w:pgMar w:top="851" w:right="510" w:bottom="79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TrackMoves/>
  <w:documentProtection w:enforcement="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2019"/>
    <w:rsid w:val="00030A79"/>
    <w:rsid w:val="000500C8"/>
    <w:rsid w:val="00055EEE"/>
    <w:rsid w:val="000764AC"/>
    <w:rsid w:val="00084652"/>
    <w:rsid w:val="000E5D41"/>
    <w:rsid w:val="001103B8"/>
    <w:rsid w:val="0011688F"/>
    <w:rsid w:val="00130B1C"/>
    <w:rsid w:val="00154799"/>
    <w:rsid w:val="00164604"/>
    <w:rsid w:val="0016523E"/>
    <w:rsid w:val="001A4167"/>
    <w:rsid w:val="001A6FBF"/>
    <w:rsid w:val="001E10E6"/>
    <w:rsid w:val="00235096"/>
    <w:rsid w:val="002365B9"/>
    <w:rsid w:val="00277020"/>
    <w:rsid w:val="002904DD"/>
    <w:rsid w:val="002920F5"/>
    <w:rsid w:val="00294623"/>
    <w:rsid w:val="002B7A6D"/>
    <w:rsid w:val="00317AA8"/>
    <w:rsid w:val="00324F71"/>
    <w:rsid w:val="00326E40"/>
    <w:rsid w:val="00334205"/>
    <w:rsid w:val="00342585"/>
    <w:rsid w:val="003C547C"/>
    <w:rsid w:val="00432019"/>
    <w:rsid w:val="0043470B"/>
    <w:rsid w:val="004E3149"/>
    <w:rsid w:val="004F251A"/>
    <w:rsid w:val="00500972"/>
    <w:rsid w:val="00543A19"/>
    <w:rsid w:val="00580854"/>
    <w:rsid w:val="005E1A0A"/>
    <w:rsid w:val="005F42C6"/>
    <w:rsid w:val="005F68A5"/>
    <w:rsid w:val="006118C2"/>
    <w:rsid w:val="00637038"/>
    <w:rsid w:val="00662136"/>
    <w:rsid w:val="00681572"/>
    <w:rsid w:val="00715CC3"/>
    <w:rsid w:val="00723B76"/>
    <w:rsid w:val="007815E1"/>
    <w:rsid w:val="00786671"/>
    <w:rsid w:val="007A38B0"/>
    <w:rsid w:val="007B54EB"/>
    <w:rsid w:val="007C405A"/>
    <w:rsid w:val="007F0772"/>
    <w:rsid w:val="007F6496"/>
    <w:rsid w:val="00806641"/>
    <w:rsid w:val="0081357F"/>
    <w:rsid w:val="00842EB5"/>
    <w:rsid w:val="00883164"/>
    <w:rsid w:val="0089383B"/>
    <w:rsid w:val="0090259D"/>
    <w:rsid w:val="009242BA"/>
    <w:rsid w:val="00945503"/>
    <w:rsid w:val="009535B7"/>
    <w:rsid w:val="009756EB"/>
    <w:rsid w:val="00992C14"/>
    <w:rsid w:val="009D04D0"/>
    <w:rsid w:val="009E58A9"/>
    <w:rsid w:val="00A57787"/>
    <w:rsid w:val="00A66151"/>
    <w:rsid w:val="00A92105"/>
    <w:rsid w:val="00AA54A9"/>
    <w:rsid w:val="00AB749F"/>
    <w:rsid w:val="00AB7C66"/>
    <w:rsid w:val="00AC1EEE"/>
    <w:rsid w:val="00AC77AB"/>
    <w:rsid w:val="00B3358E"/>
    <w:rsid w:val="00B42980"/>
    <w:rsid w:val="00B6733E"/>
    <w:rsid w:val="00B872EE"/>
    <w:rsid w:val="00BA6573"/>
    <w:rsid w:val="00BF43E2"/>
    <w:rsid w:val="00C12582"/>
    <w:rsid w:val="00C27252"/>
    <w:rsid w:val="00CC3F0D"/>
    <w:rsid w:val="00CD3955"/>
    <w:rsid w:val="00D04AB8"/>
    <w:rsid w:val="00D34A5A"/>
    <w:rsid w:val="00D828BD"/>
    <w:rsid w:val="00DE29D6"/>
    <w:rsid w:val="00E53653"/>
    <w:rsid w:val="00EA4FB0"/>
    <w:rsid w:val="00EB13F7"/>
    <w:rsid w:val="00EC667D"/>
    <w:rsid w:val="00EE0F3F"/>
    <w:rsid w:val="00F25D70"/>
    <w:rsid w:val="00F31EE6"/>
    <w:rsid w:val="00F3395E"/>
    <w:rsid w:val="00F3551D"/>
    <w:rsid w:val="00F42E16"/>
    <w:rsid w:val="00F76E6F"/>
    <w:rsid w:val="00FB2FB3"/>
    <w:rsid w:val="122B7782"/>
    <w:rsid w:val="592C087A"/>
    <w:rsid w:val="5A1B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6"/>
    <w:qFormat/>
    <w:uiPriority w:val="99"/>
    <w:pPr>
      <w:jc w:val="center"/>
    </w:pPr>
    <w:rPr>
      <w:b/>
      <w:i/>
      <w:sz w:val="32"/>
    </w:rPr>
  </w:style>
  <w:style w:type="character" w:customStyle="1" w:styleId="6">
    <w:name w:val="Основной текст Знак"/>
    <w:link w:val="5"/>
    <w:qFormat/>
    <w:locked/>
    <w:uiPriority w:val="99"/>
    <w:rPr>
      <w:rFonts w:ascii="Times New Roman" w:hAnsi="Times New Roman" w:cs="Times New Roman"/>
      <w:b/>
      <w:i/>
      <w:sz w:val="20"/>
      <w:szCs w:val="20"/>
    </w:rPr>
  </w:style>
  <w:style w:type="character" w:customStyle="1" w:styleId="7">
    <w:name w:val="Текст выноски Знак"/>
    <w:link w:val="4"/>
    <w:semiHidden/>
    <w:qFormat/>
    <w:locked/>
    <w:uiPriority w:val="99"/>
    <w:rPr>
      <w:rFonts w:ascii="Tahoma" w:hAnsi="Tahoma" w:cs="Tahoma"/>
      <w:sz w:val="16"/>
      <w:szCs w:val="16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Дрибин ЦГиЭ</Company>
  <Pages>4</Pages>
  <Words>671</Words>
  <Characters>4728</Characters>
  <Lines>35</Lines>
  <Paragraphs>9</Paragraphs>
  <TotalTime>6</TotalTime>
  <ScaleCrop>false</ScaleCrop>
  <LinksUpToDate>false</LinksUpToDate>
  <CharactersWithSpaces>5329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2024-01-09T11:16:00Z</dcterms:created>
  <dc:creator>Гигиена</dc:creator>
  <cp:lastModifiedBy>WPS_1775722792</cp:lastModifiedBy>
  <cp:lastPrinted>2023-07-10T12:14:00Z</cp:lastPrinted>
  <dcterms:modified xsi:type="dcterms:W3CDTF">2026-09-14T11:15:05Z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eyJoZGlkIjoiMmQ2YjE2MmU4OWQ3MWRlYTBjNWE4ZTlkZDljODY3MmUiLCJ1c2VySWQiOiI3NTU5MTQzMzYwNjk4In0=</vt:lpwstr>
  </property>
  <property fmtid="{D5CDD505-2E9C-101B-9397-08002B2CF9AE}" pid="3" name="KSOProductBuildVer">
    <vt:lpwstr>1049-12.1.0.28485</vt:lpwstr>
  </property>
  <property fmtid="{D5CDD505-2E9C-101B-9397-08002B2CF9AE}" pid="4" name="ICV">
    <vt:lpwstr>80D507F83F154B7D8636FDE3A104AA06_12</vt:lpwstr>
  </property>
</Properties>
</file>