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jc w:val="end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проведенной работе  в рамках достижения показателей ЦУР на территории  </w:t>
      </w:r>
      <w:r>
        <w:rPr>
          <w:b/>
          <w:bCs/>
          <w:sz w:val="24"/>
          <w:szCs w:val="24"/>
          <w:u w:val="single"/>
        </w:rPr>
        <w:t>Дрибинского  района</w:t>
      </w:r>
    </w:p>
    <w:p>
      <w:pPr>
        <w:pStyle w:val="Normal"/>
        <w:ind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(района,города)</w:t>
      </w:r>
    </w:p>
    <w:tbl>
      <w:tblPr>
        <w:tblStyle w:val="a5"/>
        <w:tblW w:w="15168" w:type="dxa"/>
        <w:jc w:val="start"/>
        <w:tblInd w:w="-459" w:type="dxa"/>
        <w:tblCellMar>
          <w:top w:w="0" w:type="dxa"/>
          <w:start w:w="108" w:type="dxa"/>
          <w:bottom w:w="0" w:type="dxa"/>
          <w:end w:w="108" w:type="dxa"/>
        </w:tblCellMar>
        <w:tblLook w:noVBand="1" w:val="04a0" w:noHBand="0" w:lastColumn="0" w:firstColumn="1" w:lastRow="0" w:firstRow="1"/>
      </w:tblPr>
      <w:tblGrid>
        <w:gridCol w:w="9032"/>
        <w:gridCol w:w="6135"/>
      </w:tblGrid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b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b/>
                <w:i/>
                <w:sz w:val="24"/>
                <w:szCs w:val="24"/>
              </w:rPr>
              <w:t>Проведенная работа за 2023 год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3.3.1 Число новых заражений ВИЧ на 1000 неинфицированных в разбивке по полу, возрасту и принадлежности к основным группам населения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В 2023 году было подготовлено и размещено информационных материалов по профилактике ВИЧ-инфекции: в районной газете «Савецкая веска» - 1 статья, на сайте рай ЦГЭ -15 информаций. Среди населения района, учреждений распространено 450 экз ИОМ по профилактике ВИЧ-инфекции.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both"/>
              <w:rPr>
                <w:rFonts w:eastAsia="Calibri"/>
                <w:i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Вопрос профилактики ВИЧ-инфекции в 2023г рассматривался на медико-санитарном совете 2 раза (решение № 3 от 16.02.23; решение № 38 от 24.11.23).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Style w:val="Style17"/>
                <w:rFonts w:eastAsia="Calibri"/>
                <w:bCs/>
                <w:iCs/>
                <w:color w:val="000000"/>
                <w:szCs w:val="24"/>
                <w:highlight w:val="white"/>
              </w:rPr>
            </w:pPr>
            <w:r>
              <w:rPr>
                <w:rStyle w:val="Style17"/>
                <w:rFonts w:eastAsia="Calibri" w:cs="Times New Roman" w:ascii="Calibri" w:hAnsi="Calibri"/>
                <w:iCs/>
                <w:color w:val="000000"/>
                <w:szCs w:val="24"/>
                <w:shd w:fill="FFFFFF" w:val="clear"/>
              </w:rPr>
              <w:t>В</w:t>
            </w:r>
            <w:r>
              <w:rPr>
                <w:rStyle w:val="Style17"/>
                <w:rFonts w:eastAsia="Calibri" w:cs="Times New Roman" w:ascii="Calibri" w:hAnsi="Calibri"/>
                <w:iCs/>
                <w:color w:val="000000"/>
                <w:shd w:fill="FFFFFF" w:val="clear"/>
              </w:rPr>
              <w:t xml:space="preserve"> адрес Дрибинского РИК был направлен информационный материал «</w:t>
            </w:r>
            <w:r>
              <w:rPr>
                <w:rStyle w:val="Style17"/>
                <w:rFonts w:eastAsia="Calibri" w:cs="Times New Roman" w:ascii="Calibri" w:hAnsi="Calibri"/>
                <w:iCs/>
                <w:color w:val="000000"/>
                <w:szCs w:val="24"/>
                <w:shd w:fill="FFFFFF" w:val="clear"/>
              </w:rPr>
              <w:t>Информация по анализу эпидситуации по ВИЧ-инфекции и выполнению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Calibri" w:hAnsi="Calibri"/>
                <w:iCs/>
                <w:color w:val="000000"/>
                <w:szCs w:val="24"/>
                <w:shd w:fill="FFFFFF" w:val="clear"/>
              </w:rPr>
              <w:t>по</w:t>
            </w:r>
            <w:r>
              <w:rPr>
                <w:rStyle w:val="Strong"/>
                <w:rFonts w:cs="Times New Roman" w:ascii="Calibri" w:hAnsi="Calibri"/>
                <w:iCs/>
                <w:color w:val="000000"/>
                <w:sz w:val="24"/>
                <w:szCs w:val="24"/>
                <w:shd w:fill="FFFFFF" w:val="clear"/>
              </w:rPr>
              <w:t xml:space="preserve">казателя ЦУР 3.3.1 </w:t>
            </w:r>
            <w:r>
              <w:rPr>
                <w:rFonts w:cs="Times New Roman" w:ascii="Calibri" w:hAnsi="Calibri"/>
                <w:iCs/>
                <w:sz w:val="24"/>
                <w:szCs w:val="24"/>
              </w:rPr>
              <w:t>Охват скрининговым обследованием населения района на ВИЧ-инфекцию</w:t>
            </w:r>
            <w:r>
              <w:rPr>
                <w:rFonts w:cs="Times New Roman" w:ascii="Calibri" w:hAnsi="Calibri"/>
                <w:iCs/>
              </w:rPr>
              <w:t xml:space="preserve"> </w:t>
            </w:r>
            <w:r>
              <w:rPr>
                <w:rFonts w:cs="Times New Roman" w:ascii="Calibri" w:hAnsi="Calibri"/>
                <w:iCs/>
                <w:sz w:val="24"/>
                <w:szCs w:val="24"/>
              </w:rPr>
              <w:t>в 2023г увеличился по сравнению с 2022г и составил 10,5% (в 2022 году- 6,7%). С целью стабилизации и снижения инфицированности ВИЧ среди населения Дрибинского района, в 2023г разработан и утвержден заместителем председателя Дрибинского РИК «Комплексный план по профилактике ситуации по ВИЧ-инфекции на территории Дрибинского района на 2024г»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3.3.2 Заболеваемость туберкулезом на 100000 человек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Заболеваемость туберкулезом за 2023г составила 33,2% на 100 000 человек, в 2022г -32,7% Проводится рентгенологическое обследование населения района в регламентированные сроки, иммунологическая диагностика среди детского населения, работа в очагах заболевания.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Вопрос рассмотрен на медсовете в октябре 2023г (решение № 29).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рамках проведения ЕДЗ «Всемирный день борьбы с туберкулезом» проведены мероприятия: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- 17.03.2023 на сайте райЦГЭ размещен информационный материал «Что необходимо знать специалистам, работающим в животноводческом хозяйстве, чтобы предупредить заражение туберкулезом от животных»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в учреждениях образования района, коллективах проведены лекции «Что такое туберкулез?» «Меры профилактики туберкулеза» «Что необходимо знать о туберкулезе» (охвачено 123 человека);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проведены трансляции видеороликов в ГУО «Рясненская СШ», ГУО «Темнолесская БШ» - «Профилактика туберкулеза» «Фильм о туберкулезной инфекции»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в библиотечной сети района проведены выставки на тему «Туберкулез»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на базе УЗ «Дрибинская ЦРБ» совместно со специалистами райЦГЭ проведены индивидуальный консультирования населения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разработаны и распространены ИОМ (памятки) – «Что необходимо знать специалистам, работающим в животноводческом хозяйстве, чтобы предупредить заражение туберкулезом от животных»; «Палочки бывают разные».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проведен социологический опрос «Что мы знаем о туберкулезе?» среди учащихся 9-11 классов ГУО «Рясненская СШ» (опрошено 23 уч-ся).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3.3.3 Заболеваемость малярией на 1000 человек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Заболеваемость малярией на территории района не регистрировалась. Вопрос профилактики малярии р</w:t>
            </w:r>
            <w:r>
              <w:rPr>
                <w:rFonts w:eastAsia="Calibri" w:cs="Times New Roman" w:ascii="Calibri" w:hAnsi="Calibri"/>
                <w:iCs/>
                <w:color w:val="000000" w:themeColor="text1"/>
                <w:sz w:val="24"/>
                <w:szCs w:val="24"/>
              </w:rPr>
              <w:t>ассмотрен на медсовете при главном враче УЗ «Дрибинская ЦРБ».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color w:val="000000" w:themeColor="text1"/>
                <w:sz w:val="24"/>
                <w:szCs w:val="24"/>
              </w:rPr>
              <w:t xml:space="preserve">В адрес заинтересованных ведомств и организаций подготовлены и направлены служебные письма. Туристических фирм и агентств в Дрибинском районе не зарегистрировано.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color w:val="000000" w:themeColor="text1"/>
                <w:sz w:val="24"/>
                <w:szCs w:val="24"/>
              </w:rPr>
              <w:t>Ведется межведомственное взаимодействие райЦГЭ с группой по гражданству и миграции Дрибинского РОВД  по информированию  о лицах, прибывающих на постоянное место жительства из стран, неблагополучных по малярии.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3.3.4 Заболеваемость гепатитом В на 100000 человек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ind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Показатель заболеваемости вирусным гепатитом В (далее </w:t>
              <w:softHyphen/>
              <w:t xml:space="preserve"> – ВГВ) в 2023 году составил 77,5 случая на 100 000 населения при среднеобластном 8,3 на 100 тыс. населения, что превышает оптимальное значение Национального показателя «Заболеваемость гепатитом В на 100 000 человек» – 9,5 - 11,2 на 100 000 населения.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Высокий показатель заболеваемости ВГВ связан с обследованием пациентов с диагнозом носительство ВГВ, длительное время состоявших на учете (5 из 6 случаев).</w:t>
            </w:r>
          </w:p>
          <w:p>
            <w:pPr>
              <w:pStyle w:val="Normal"/>
              <w:spacing w:before="0" w:after="0"/>
              <w:ind w:end="-2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Д</w:t>
            </w:r>
            <w:r>
              <w:rPr>
                <w:rFonts w:eastAsia="Calibri" w:cs="Times New Roman" w:ascii="Calibri" w:hAnsi="Calibri"/>
                <w:bCs/>
                <w:sz w:val="24"/>
                <w:szCs w:val="24"/>
              </w:rPr>
              <w:t xml:space="preserve">остигнут косвенный показатель ЦУР 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«Процент охвата обследованием контактных лиц в очагах ВГВ-инфекции и микст-инфекции – 90%», который составил 100%. </w:t>
            </w:r>
          </w:p>
          <w:p>
            <w:pPr>
              <w:pStyle w:val="Normal"/>
              <w:spacing w:before="0" w:after="0"/>
              <w:ind w:end="-2"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Обеспечен «Целевой охват вакцинацией контактных лиц – 90%», охват вакцинацией составил 100%.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Вопрос об «Об организации эпидемиологического надзора за парентеральными вирусными гепатитами и реализацией «Плана элиминации ВГС в районе»  рассмотрен на медицинском совете при главввраче  УЗ «Дрибинская ЦРБ», решения медицинского совета от 16.02.2023г. №2 и от 30.10.2023г №31.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рамках ЕДЗ «1 марта - Международный день борьбы с наркотиками» освещались вопросы профилактики  ПВГ: - лекции 8 охвачено 117 человек;</w:t>
            </w:r>
          </w:p>
          <w:p>
            <w:pPr>
              <w:pStyle w:val="Normal"/>
              <w:spacing w:before="0" w:after="0"/>
              <w:ind w:hanging="0"/>
              <w:jc w:val="start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Круглые столы:                                                                                                                    02.03. 23 "вместе против наркотиков" и  07.04.23 "Здоровье в моих руках" с учащимися 9-11 классов Дрибинской СШ (охвачено 32 чел.)  во взаимодействии с Дрибинской библиотечной сетью, ЦРБ, с отделом по образованию, отделом внутренних дел, а также инспектором по делам несовершеннолетних Дрибинского РИК.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Проведены киновидеолектории – С 25.02.23г.  по 03.03.23 г.    для учащихся старших классов учреждений образования района  (охвачено 84 чел.).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Распространены ИОМ.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В рамках областной информационно-образовательной акции, 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приуроченной к ЕДЗ «Всемирный день борьбы с гепатитом»,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под лозунгом: «Одна жизнь, одна печень»  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районной газете "Савецкая веска" опубликован ИМ "Одна жизнь, одна печень", на сайте ЦГЭ и ЦРБ размещены информационные материалы.                                                      Проведено анкетирование среди населения уязвимых групп.                                                   Лекции 6 охвачено 91 человек;  беседы 20, охвачено 69 человек.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Распространялись памятки "Что нужно знать о гепатитах" - 50 экз.,"Как узнать есть ли у меня вирусный гепатит С" - 50 экз., листовка "Считаете, вам вирусный гепатит не грозит" - 50 экз.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Обеспечена стерилизация изделий медицинского назначения Организаций здравоохранения района в ЦСО на базе ЦРБ. В 2023 году для замены приобретен суховоздушный и паровой стерилизаторы. Приобретение оборудования для обработки инструментария в организациях здравоохранения (дезинфекционно-стерилизационного оборудования).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3.3.5 Число людей, нуждающихся в лечении от "забытых" тропических болезней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С целью санитарной охраны территории Дрибинского района в июне 2023 года проведен районный смотр- конкурс санитарных дружин района по работе в чрезвычайных ситуациях по локализации и ликвидации очагов радиоактивного, химического поражения, очагов инфекционных заболеваний, имеющих международное значение. </w:t>
            </w:r>
          </w:p>
          <w:p>
            <w:pPr>
              <w:pStyle w:val="Normal"/>
              <w:spacing w:lineRule="atLeast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6.07.2023г. на базе УЗ «Дрибинская ЦРБ» проведено районное учение- семинар по работе организаций здравоохранения 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>по теме</w:t>
            </w:r>
            <w:r>
              <w:rPr>
                <w:rFonts w:eastAsia="Times New Roman" w:cs="Times New Roman" w:ascii="Calibri" w:hAnsi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 xml:space="preserve">«Организация оказания медицинской помощи и проведение противоэпидемических мероприятий при выявлении </w:t>
            </w:r>
            <w:r>
              <w:rPr>
                <w:rFonts w:cs="Times New Roman" w:ascii="Calibri" w:hAnsi="Calibri"/>
                <w:sz w:val="24"/>
                <w:szCs w:val="24"/>
              </w:rPr>
              <w:t xml:space="preserve">случая заболевания, подозрительного на 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>болезнь, вызванную вирусом Эбола (далее – БВВЭ)».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В учении приняли участие: районный центр гигиены и эпидемиологии, центральная районная больница, организации здравоохранения района, сотрудники железнодорожной станции Темный Лес, Дрибинского РОВД.</w:t>
            </w:r>
          </w:p>
          <w:p>
            <w:pPr>
              <w:pStyle w:val="Normal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28.02.2023г. в адрес председателя комиссии по ЧС Дрибинского РИК направлена информация «О ходе выполнения комплексного плана по санитарной охране территории дрибинского района от заноса и распространения инфекционных заболеваний, имеющих международное значение на2016 -2025 годы». Проводится регулярное обновление информации на сайте ЦГЭ о заболеваемости в мире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3.5.1.1 Общее число обратившихся за медицинской помощью в организации здравоохранения по причине употребления психоактивных веществ (человек)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Распространялись памятки «Знак беды наркотики», «Пробует ли ваш ребенок наркотики», «Алкоголь и наше здоровье», «О вреде алкоголя», «Курение вредит твоему здоровью» и другие.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рамках проведения ЕДЗ «Международный день борьбы с наркоманией» проведено: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- 01.03.2023 на сайте райЦГЭ размещен информационный материал «1 марта – Международный день борьбы с наркотиками»; «Нашел работу закладчиком?»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в учреждениях образования района, коллективах проведены лекции на тему «Последствия потребления психоактивных веществ» «Употребление наркотиков к хорошему не приведет» (охвачено 117 человек)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проведены трансляции видеороликов в УЗ «Дрибинская ЦРБ», УКП «Жилкомхоз» - «Наркотик убивает»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в библиотечной сети района проведены выставки на тему «Наркотики»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на базе УЗ «Дрибинская ЦРБ» совместно со специалистами райЦГЭ проведены индивидуальный консультирования населения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разработаны и распространены ИОМ (памятки) – «1 марта – Международный день борьбы с наркотиками»; «Нашел работу закладчиком?»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3.5.2 Употребление алкоголя на душу населения (в возрасте 15 лет и старше) в литрах чистого спирта в календарный год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С целью повышения уровня знаний у учащихся по вопросам сохранения и укрепления здоровья, профилактики неинфекционных заболеваний проводятся профилактические беседы, лекции. На классных часах, уроках здоровья в 2023г было обеспечено выступление медицинских работников по темам: «Алкоголь и наше здоровье», «О вреде алкоголя» и т.д.;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с участием настоятеля Николаевской церкви аг. Рясно проведена нравственная беседа с учащимися старших классов  Дрибинской СШ «О вреде алкоголя», охвачено 37чел 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соответствии с решением Дрибинского районного исполнительного комитета от 27 января 2023г № 2-5 «Об ограничении времени продажи алкогольных напитков», в 2023г было проведено 4 акции «День трезвости». В дни проведения акции на территории Дрибинского района с 00.00 по 24.00 действовали ограничения по продаже алкогольных напитков.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На заседании Межведомственного совета по ФЗОЖ был рассмотрен вопрос «О реализации подпрограммы 3 «Предупреждение и преодоление пьянства и алкоголизма, охрана психического здоровья»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В районной газете «Савецкая веска» публикуются материалы профилактической направленности о вреде алкоголя, предоставляемые УЗ «Дрибинский рай ЦГЭ», УЗ «Дрибинская ЦРБ», РОВД, прокуратурой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3.8.1 Охват основными медико-санитарными услугами (определяемый как средний охват основными услугами по отслеживаемым процедурам, к которым относятся охрана репродуктивного здоровья, охрана здоровья матери и ребенка, лечение инфекционных заболеваний, лечение неинфекционных заболеваний и масштабы и доступность услуг для широких слоев населения и для находящихся в наиболее неблагоприятном положении групп населения)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учреждении здравоохранения в 2023 году проводилось обновление материально-технической базы, доукомплектование недостающим оснащением.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2023г. был проведен косметический ремонт в кабинете врача акушер гинеколога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rPr>
                <w:sz w:val="24"/>
                <w:szCs w:val="24"/>
              </w:rPr>
            </w:pPr>
            <w:bookmarkStart w:id="0" w:name="_Hlk157757337"/>
            <w:r>
              <w:rPr>
                <w:rFonts w:eastAsia="Calibri" w:cs="Times New Roman" w:ascii="Calibri" w:hAnsi="Calibri"/>
                <w:sz w:val="24"/>
                <w:szCs w:val="24"/>
              </w:rPr>
              <w:t>Эффективность предабортного психологического консультирования осталась практически  на прежнем уровне с 2022г (2023г- 13 абортов, 2022г -12 абортов).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rPr>
                <w:color w:val="FF0000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В сравнении с предыдущим годом показатель охвата профилактическими осмотрами за год женщин увеличился и составил 86%, в 2022г-70%, охвачено </w:t>
            </w:r>
            <w:r>
              <w:rPr>
                <w:rFonts w:eastAsia="Calibri" w:cs="Times New Roman" w:ascii="Calibri" w:hAnsi="Calibri"/>
                <w:sz w:val="30"/>
                <w:szCs w:val="30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>прегравидарной подготовкой женщин и, взято на диспансерный учет по беременности -53 (2022г-78).</w:t>
            </w:r>
            <w:r>
              <w:rPr>
                <w:rFonts w:eastAsia="Calibri" w:cs="Times New Roman" w:ascii="Calibri" w:hAnsi="Calibri"/>
                <w:color w:val="FF0000"/>
                <w:sz w:val="24"/>
                <w:szCs w:val="24"/>
              </w:rPr>
              <w:t xml:space="preserve"> </w:t>
            </w:r>
            <w:bookmarkEnd w:id="0"/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3.9.2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b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В 2023 году вопрос о качестве питьевой воды подаваемой населению района рассматривался на уровне органов власти. </w:t>
            </w:r>
            <w:r>
              <w:rPr>
                <w:rFonts w:eastAsia="Calibri" w:cs="Times New Roman" w:ascii="Calibri" w:hAnsi="Calibri"/>
                <w:bCs/>
                <w:sz w:val="24"/>
                <w:szCs w:val="24"/>
              </w:rPr>
              <w:t>В адрес председателя Дрибинского районного Совета депутатов направлена информация «О состоянии работы по обеспечению населения района питьевой водой» (отражены вопросы централизованного и нецентрализованного водоснабжения, в т.ч. ведомственного, даны предложения по включению в решение в части рассмотрения и приведения источников в должное состояние). По итогам рассмотрения данного вопроса на президиуме Совета депутатов принято решение от 28.03.2023 № 80-2 «О состоянии работы по обеспечению населения района питьевой водой», в которое включены предложения райЦГЭ.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Подготовлены служебные письма в адрес филиала «Могилевводоканал» УПКПВКХ Могилевоблводоканал» 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2023 году проведены мероприятия по ремонту и благоустройству 10 колодцев и ликвидационному тампонажу 6 колодцев, которые не востребованы населением.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Наблюдется положительная динамика качества питьевой воды по итогам 2023 года  в сравнении с 2022 годом в сторону снижения количества нестандартных проб питьевой воды.  Произошло улучшение качества воды по санитарно-химическим показателям из коммунального водопровода, процент нестандартных проб снизился с 21,1% в 2022 году до 20,5% в 2023 году. Из источников нецентрализованного водоснабжения процент нестандартных проб снизился с 10,5% в 2022 году до 9,2% в 2023 году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6.b.1 Доля местных административных единиц, в которых действуют правила и процедуры участия граждан в управлении водными ресурсами и санитарией 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Обеспеченность населения Дрибинского района централизованным  водоснабжением  составляет  90,9% 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В 2023г проведена замена водопроводных сетей 2500 метров и 450 метров канализационных сетей.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bCs/>
                <w:iCs/>
                <w:sz w:val="24"/>
                <w:szCs w:val="24"/>
              </w:rPr>
              <w:t>В адрес председателя Дрибинского районного Совета депутатов направлена информация, по итогам рассмотрения данного вопроса на президиуме Совета депутатов принято решение от 28.03.2023 № 80-2 «О состоянии работы по обеспечению населения района питьевой водой»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3.b.1 Доля целевой группы населения, охваченная иммунизацией всеми вакцинами, включенными в национальные программы (процент)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В течение года проводилась плановая информационно-образовательная и лечебная работа со всеми слоями населения по вопросам безопасности и эффективности проведения иммунологической профилактики инфекционных заболеваний, проводились информационные акции по данной тематике, на постоянной основе проводится разъяснительная работа с отказчиками.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cs="Times New Roman" w:ascii="Calibri" w:hAnsi="Calibri"/>
                <w:iCs/>
                <w:sz w:val="24"/>
                <w:szCs w:val="24"/>
              </w:rPr>
              <w:t>Целевые показатели ЦУР за 2023 год достигнуты по всем позициям: охват детей законченным курсом профилактических прививок первичного вакцинального комплекса соответствует оптимальным показателям охвата за год для детского населения в возрасте до 1 года (97%), по позициям  ВГВ-4 – 98,7%, АКДС-3(4 мес) – 98,7%, ИПВ-3(4 мес) – 98,7%. Охват детей до года вакцинацией БЦЖ (М) составил – 100%, ВГВ-1 - 98,6%,</w:t>
            </w:r>
            <w:r>
              <w:rPr>
                <w:rFonts w:cs="Times New Roman" w:ascii="Calibri" w:hAnsi="Calibri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Cs/>
                <w:sz w:val="24"/>
                <w:szCs w:val="24"/>
              </w:rPr>
              <w:t>ВГВ-2 – 98,6%, АКДС-1 – 98,6%,</w:t>
            </w:r>
            <w:r>
              <w:rPr>
                <w:rFonts w:cs="Times New Roman" w:ascii="Calibri" w:hAnsi="Calibri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Cs/>
                <w:sz w:val="24"/>
                <w:szCs w:val="24"/>
              </w:rPr>
              <w:t>АКДС-2 – 100%,</w:t>
            </w:r>
            <w:r>
              <w:rPr>
                <w:rFonts w:cs="Times New Roman" w:ascii="Calibri" w:hAnsi="Calibri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Cs/>
                <w:sz w:val="24"/>
                <w:szCs w:val="24"/>
              </w:rPr>
              <w:t>ИПВ-1 – 97,3%, ИПВ-2 – 100%. Обеспечен оптимальный охват вакцинацией по всем позициям детей старше 1 года и взрослого населения.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cs="Times New Roman" w:ascii="Calibri" w:hAnsi="Calibri"/>
                <w:bCs/>
                <w:iCs/>
                <w:sz w:val="24"/>
                <w:szCs w:val="24"/>
              </w:rPr>
              <w:t xml:space="preserve">При проведении прививочных кампаний вакцинации против гриппа и </w:t>
            </w:r>
            <w:r>
              <w:rPr>
                <w:rFonts w:cs="Times New Roman" w:ascii="Calibri" w:hAnsi="Calibri"/>
                <w:bCs/>
                <w:iCs/>
                <w:sz w:val="24"/>
                <w:szCs w:val="24"/>
                <w:lang w:val="en-US"/>
              </w:rPr>
              <w:t>COVID</w:t>
            </w:r>
            <w:r>
              <w:rPr>
                <w:rFonts w:cs="Times New Roman" w:ascii="Calibri" w:hAnsi="Calibri"/>
                <w:bCs/>
                <w:iCs/>
                <w:sz w:val="24"/>
                <w:szCs w:val="24"/>
              </w:rPr>
              <w:t>-19 организована работа 8 мобильных</w:t>
            </w:r>
            <w:r>
              <w:rPr>
                <w:rFonts w:cs="Times New Roman" w:ascii="Calibri" w:hAnsi="Calibri"/>
                <w:iCs/>
                <w:sz w:val="24"/>
                <w:szCs w:val="24"/>
              </w:rPr>
              <w:t xml:space="preserve">  бригад для проведения выездной вакцинации.</w:t>
            </w:r>
          </w:p>
        </w:tc>
      </w:tr>
      <w:tr>
        <w:trPr>
          <w:trHeight w:val="2401" w:hRule="atLeast"/>
        </w:trPr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3.d.l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widowControl w:val="false"/>
              <w:pBdr>
                <w:left w:val="single" w:sz="6" w:space="0" w:color="FFFFFF"/>
                <w:bottom w:val="single" w:sz="6" w:space="31" w:color="FFFFFF"/>
              </w:pBdr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ind w:firstLine="567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Работа </w:t>
            </w:r>
            <w:r>
              <w:rPr>
                <w:rFonts w:eastAsia="Calibri" w:cs="Times New Roman" w:ascii="Calibri" w:hAnsi="Calibri"/>
                <w:bCs/>
                <w:sz w:val="24"/>
                <w:szCs w:val="24"/>
              </w:rPr>
              <w:t>по санитарной охране территории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>, профилактике инфекционных заболеваний, имеющих международное значение (далее-ИЗИМЗ), проводится в соответствии с  Комплексным планом мероприятий по санитарной охране территории Могилевской области от заноса и распространения инфекционных заболеваний, имеющих Международное значение, на 2016-2025 годы и Комплексным планом мероприятий по санитарной охране территории Дрибинского  района на 2016-2025 годы, утвержденным заместителем председателя Дрибинского районного исполнительного комитета по ЧС при Дрибинском райисполкоме 02.03.2016 (в план внесена коррекция с учетом реорганизации УЗ «МИБ» и изменения госпитальной базы-госпиталя для пациентов с ИЗИМЗ).</w:t>
            </w:r>
          </w:p>
          <w:p>
            <w:pPr>
              <w:pStyle w:val="Normal"/>
              <w:widowControl w:val="false"/>
              <w:pBdr>
                <w:left w:val="single" w:sz="6" w:space="0" w:color="FFFFFF"/>
                <w:bottom w:val="single" w:sz="6" w:space="31" w:color="FFFFFF"/>
              </w:pBdr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ind w:firstLine="567"/>
              <w:rPr>
                <w:b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Проводится подготовка кадров медицинских работников к работе в условиях выявления ИЗИМЗ. В 2023 году - 22 учебно-тренировочных занятия, 1 семинар и 2 практических учения с последующими сдачами зачетов; в 2023 году – 3 учебно-тренировочных занятия, 1 семинар. </w:t>
            </w:r>
          </w:p>
          <w:p>
            <w:pPr>
              <w:pStyle w:val="Normal"/>
              <w:widowControl w:val="false"/>
              <w:pBdr>
                <w:left w:val="single" w:sz="6" w:space="0" w:color="FFFFFF"/>
                <w:bottom w:val="single" w:sz="6" w:space="31" w:color="FFFFFF"/>
              </w:pBdr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ind w:firstLine="567"/>
              <w:rPr>
                <w:b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06.07.2023г. проведено показательное учение по локализации и ликвидации очага ИЗИМЗ с оформлением необходимой документации (приказ, ситуационная задача, календарный план учения, учет присутствующих, протокол разбора с учетом рекомендаций МЗ РБ). Проводится ежегодная подготовка работников гостиницы и общежития (16.05.2023), РОВД (05.06.2023), работников ЖКХ (23.05.2023). Агентств занимающихся туроператорской деятельностью на территории района нет.</w:t>
            </w:r>
          </w:p>
          <w:p>
            <w:pPr>
              <w:pStyle w:val="Normal"/>
              <w:widowControl w:val="false"/>
              <w:pBdr>
                <w:left w:val="single" w:sz="6" w:space="0" w:color="FFFFFF"/>
                <w:bottom w:val="single" w:sz="6" w:space="31" w:color="FFFFFF"/>
              </w:pBdr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ind w:firstLine="567"/>
              <w:rPr>
                <w:b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На случай эпидосложнения по ИЗИМЗ в организациях здравоохранения создана материально-техническая база. </w:t>
            </w:r>
            <w:bookmarkStart w:id="1" w:name="_Hlk100734338"/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Для </w:t>
            </w:r>
            <w:bookmarkStart w:id="2" w:name="_Hlk100734394"/>
            <w:r>
              <w:rPr>
                <w:rFonts w:eastAsia="Calibri" w:cs="Times New Roman" w:ascii="Calibri" w:hAnsi="Calibri"/>
                <w:sz w:val="24"/>
                <w:szCs w:val="24"/>
              </w:rPr>
              <w:t>профилактики заражения</w:t>
            </w:r>
            <w:bookmarkEnd w:id="2"/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 имеются средства индивидуальной защиты - противочумные костюмы 1 типа (ПЧК), всего – 75 шт., в том числе: приемном покое- 8, ОСМП- 8, АВОП, ФАПах-42. ЦГЭ-15. Обеспеченность согласно приказу МЗ РБ от 20.05.2003 № 92 составляет 100 %. Имеется в наличии 15 укладок для забора материала от больных. </w:t>
            </w:r>
            <w:bookmarkEnd w:id="1"/>
          </w:p>
          <w:p>
            <w:pPr>
              <w:pStyle w:val="Normal"/>
              <w:widowControl w:val="false"/>
              <w:pBdr>
                <w:left w:val="single" w:sz="6" w:space="0" w:color="FFFFFF"/>
                <w:bottom w:val="single" w:sz="6" w:space="31" w:color="FFFFFF"/>
              </w:pBdr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ind w:firstLine="567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Осуществляется контроль за оперативной готовностью организаций здравоохранения к работе в условиях эпидосложнения по ИЗИМЗ в рамках административных обходов и подготовки вопроса для рассмотрения на медсоветах. </w:t>
            </w:r>
            <w:r>
              <w:rPr>
                <w:rFonts w:eastAsia="Calibri" w:cs="Times New Roman" w:ascii="Calibri" w:hAnsi="Calibri"/>
                <w:spacing w:val="7"/>
                <w:sz w:val="24"/>
                <w:szCs w:val="24"/>
              </w:rPr>
              <w:t xml:space="preserve">В 2022-2023 годах 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проведена оценка всех ОЗ, находящихся на контроле. </w:t>
            </w:r>
          </w:p>
          <w:p>
            <w:pPr>
              <w:pStyle w:val="Normal"/>
              <w:widowControl w:val="false"/>
              <w:pBdr>
                <w:left w:val="single" w:sz="6" w:space="0" w:color="FFFFFF"/>
                <w:bottom w:val="single" w:sz="6" w:space="31" w:color="FFFFFF"/>
              </w:pBdr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ind w:firstLine="567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Бальная экспертная оценка</w:t>
            </w:r>
            <w:r>
              <w:rPr>
                <w:rFonts w:eastAsia="Calibri" w:cs="Times New Roman" w:ascii="Calibri" w:hAnsi="Calibri"/>
                <w:bCs/>
                <w:sz w:val="24"/>
                <w:szCs w:val="24"/>
              </w:rPr>
              <w:t xml:space="preserve"> согласно 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>постановлению Главного государственного санитарного врача Республики Беларусь от 07.08.2003г. №84 свидетельствует о готовности организаций здравоохранения к работе в условиях выявления больного (подозрительного) ИЗИМЗ.</w:t>
            </w:r>
          </w:p>
          <w:p>
            <w:pPr>
              <w:pStyle w:val="Normal"/>
              <w:widowControl w:val="false"/>
              <w:pBdr>
                <w:left w:val="single" w:sz="6" w:space="0" w:color="FFFFFF"/>
                <w:bottom w:val="single" w:sz="6" w:space="31" w:color="FFFFFF"/>
              </w:pBdr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ind w:firstLine="567"/>
              <w:rPr>
                <w:b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порядке осуществления мониторинга за вибриопейзажем внешней среды ежегодно с мая по октябрь проводится исследование воды поверхностных водоемов на наличие холерного вибриона в 6 стационарных точках. Ежегодно утверждается график отбора воды из открытых водоемов. По графику отобрано в 2022г.- 54; за 8 месяцев 2023- 70, НХВ не выделялись. Паспорта на стационарные точки заведены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3.d.2 Процентная доля инфекций кровотока, вызываемых отдельными организмами, устойчивыми к противомикробным препаратам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В рай ЦГЭ внедрена система эпидемиологического надзора за резистентностью клинически значимых микроорганизмов, путем программы «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  <w:lang w:val="en-US"/>
              </w:rPr>
              <w:t>Whonet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», за 2023г было проведено исследование 148 изолятов микроорганизмов. На ЦРБ предоставляется ежеквартальный микробиологический анализ чувствительности выделенных изолятов микроорганизмов к антибиотику.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На заседаниях медико-санитарных советов при главном враче  в течение года регулярно  рассматривались вопросы эффективности мониторинга циркуляции мульти- и панрезистентных штаммов в реанимационном, хирургическом, отделениях стационаров, разрабатывались оперативные планы профилактических мероприятий  по сдерживанию распространения госпитальных штаммов, усилению контроля за обоснованным  назначением антибиотикотерапии на амбулаторном и стационарном этапах с учетом локальных данных уровня антибиотикорезистентности микроорганизмов.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Вопрос рассмотрен на медицинском совете при главном враче (Решение № 7 от 23.03.23г)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3.1.1 Коэффициент материнской смертности (на 100000 родившихся живыми)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bookmarkStart w:id="3" w:name="_Hlk157757403"/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Врачом -акушером организовано и проводится предабортное консультирование,  динамика случаев искусственного прерывания беременности составила в 2023 году -13, в 2022 году-12.</w:t>
            </w:r>
            <w:bookmarkEnd w:id="3"/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3.1.2 Доля родов, принятых квалифицированными медицинскими работниками (процент)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Доля родов, принятых квалифицированными медицинскими работниками  -100%.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bookmarkStart w:id="4" w:name="_Hlk157757430"/>
            <w:r>
              <w:rPr>
                <w:rFonts w:eastAsia="Calibri" w:cs="Times New Roman" w:ascii="Calibri" w:hAnsi="Calibri"/>
                <w:sz w:val="24"/>
                <w:szCs w:val="24"/>
              </w:rPr>
              <w:t>Протоколы медицинского наблюдения за беременными соблюдаются. В 2023г случаи родов на дому отсутствовали.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УЗ «Дрибинская ЦРБ» акушерско –гинекологические койки отсутствуют.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bookmarkStart w:id="5" w:name="_Hlk157757430"/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Специалисты акушерско-гинекологической службы района проходят повышение профессионального уровня. Врачом -гинекологом УЗ «Дрибинская ЦРБ» пройдены курсы повышения в 2021г.</w:t>
            </w:r>
            <w:bookmarkEnd w:id="5"/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3.2.1 Коэффициент смертности детей в возрасте до 5 лет (на 1 000 родившихся живыми)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Районной межведомственной группой в составе работников РОВД, УЗ «Дрибинская ЦРБ», прокуратуры, КДН, отдела по образованию, районного методического кабинета в учреждениях образования с учащимися и трудовыми коллективами учреждений образования проведены встречи по  тематике «Профилактика насилия в семье».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Межведомственной группой посещены семьи граждан, совершивших насилие в семье, где проживают дети, признанные находящимися в социально опасном положении. С родителями проведены профилактические беседы об ответственности в сфере семейно-бытовых отношений, члены семей проинформированы об организациях, оказывающих помощь пострадавшим от насилия в семье, вручены памятки, буклеты.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708"/>
              <w:outlineLvl w:val="0"/>
              <w:rPr>
                <w:b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bCs/>
                <w:sz w:val="24"/>
                <w:szCs w:val="24"/>
              </w:rPr>
              <w:t>Специалистами СПЦ для учреждений образования направлены информационные рассылки с материалами по профилактике насилия (пособия, методические рекомендации, презентации, публикации). Для педагогов - буклеты, листовки, раздаточный материал для размещения на сайте учреждения, для работы с педагогами и родителями.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На сайте ГУО «Дрибинский РСПЦ» размещена информация по ответственности родителей за воспитание и содержание детей (в нормативных правовых актах Республики Беларусь), информация для родителей «</w:t>
            </w:r>
            <w:r>
              <w:rPr>
                <w:rFonts w:eastAsia="Calibri" w:cs="Times New Roman" w:ascii="Calibri" w:hAnsi="Calibri"/>
                <w:bCs/>
                <w:sz w:val="24"/>
                <w:szCs w:val="24"/>
              </w:rPr>
              <w:t>Признаки физического насилия и  неудовлетворения жизненных потребностей ребенка», «</w:t>
            </w:r>
            <w:r>
              <w:rPr>
                <w:rFonts w:eastAsia="Calibri" w:cs="Times New Roman" w:ascii="Calibri" w:hAnsi="Calibri"/>
                <w:bCs/>
                <w:iCs/>
                <w:sz w:val="24"/>
                <w:szCs w:val="24"/>
              </w:rPr>
              <w:t>Стратегии предупреждения насилия в семье</w:t>
            </w:r>
            <w:r>
              <w:rPr>
                <w:rFonts w:eastAsia="Calibri" w:cs="Times New Roman" w:ascii="Calibri" w:hAnsi="Calibri"/>
                <w:bCs/>
                <w:sz w:val="24"/>
                <w:szCs w:val="24"/>
              </w:rPr>
              <w:t xml:space="preserve">». </w:t>
              <w:tab/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3.4.1 Смертность от сердечно - сосудистых заболеваний, рака, диабета, хронических респираторных заболеваний (на 100 000 человек)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районе проводится анализ демографической ситуации, данный вопрос ежеквартально рассматривается на медико-санитарном совете при главном враче, принимаются управленческие решения, направленные на снижение смертности населения.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 xml:space="preserve">УЗ «Дрибинская ЦРБ» совместно с УЗ «Дрибинский рай ЦГЭ» была организована и проведена районная здравосозидательная акция  «День здоровья» (в ходе  акции жители гп. Дрибин могли измерить артериальное давление, определить индекс массы тела и уровень сахара в крови и т.д), среди населения были распространены памятки </w:t>
            </w:r>
            <w:r>
              <w:rPr>
                <w:rFonts w:eastAsia="Calibri" w:cs="Times New Roman" w:ascii="Calibri" w:hAnsi="Calibri"/>
                <w:sz w:val="24"/>
                <w:szCs w:val="24"/>
                <w:lang w:val="be-BY"/>
              </w:rPr>
              <w:t xml:space="preserve">с тестом по распознанию инсульта </w:t>
            </w: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Face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Arm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Speech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test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be-BY"/>
              </w:rPr>
              <w:t xml:space="preserve">“лицо-рука-речь”, 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охвачено 110 чел. По результатам акции у 22 человек были выявлены отклонения в здоровье, 7 человекам выданы направления к узким специалистам.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 xml:space="preserve">В апреле месяце 2023г на территории района была </w:t>
            </w:r>
            <w:r>
              <w:rPr>
                <w:rFonts w:eastAsia="Calibri" w:cs="Times New Roman" w:ascii="Calibri" w:hAnsi="Calibri"/>
                <w:sz w:val="24"/>
                <w:szCs w:val="24"/>
                <w:lang w:val="be-BY"/>
              </w:rPr>
              <w:t>проведена медико-просветительская акция в рамках профилактического проекта “Время выбирать здоровье” (охвачено 450 чел), в рамках которой было организован осмотр и консультирование</w:t>
            </w:r>
            <w:r>
              <w:rPr>
                <w:rFonts w:eastAsia="Calibri" w:cs="Times New Roman" w:ascii="Calibri" w:hAnsi="Calibri"/>
                <w:lang w:val="be-BY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be-BY"/>
              </w:rPr>
              <w:t>трудоспособного населения групп диспансерного наблюдения Д2 и ДЗ областными специалистами по профилям: пульмонология, кардиология, эндокринология, неврология, гастроэнтерология, ревматология, онкология, была организована работа интерактивной площадки с измерением роста, окружности талии, определением веса, ИМТ с консультированием врача общей практики по вопросам медицинской профилактики (коррекция факторов риска НИЗ) и психолога (вопросы психического здоровья). По результатам акции было выявлено 19 человек с отклонениями в здоровьи, были направлены на консультацию к узким специалистам 9 человек.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В целях повышения доступности оказания специализированной медицинской помощи населению</w:t>
            </w:r>
            <w:r>
              <w:rPr>
                <w:rFonts w:eastAsia="Calibri" w:cs="Times New Roman" w:ascii="Calibri" w:hAnsi="Calibri"/>
                <w:i/>
                <w:sz w:val="24"/>
                <w:szCs w:val="24"/>
              </w:rPr>
              <w:t xml:space="preserve"> о</w:t>
            </w:r>
            <w:r>
              <w:rPr>
                <w:rFonts w:eastAsia="Calibri" w:cs="Times New Roman" w:ascii="Calibri" w:hAnsi="Calibri"/>
                <w:sz w:val="24"/>
                <w:szCs w:val="24"/>
                <w:lang w:val="be-BY"/>
              </w:rPr>
              <w:t>рганизована «выездная форма» работы медицинских работников (врачи, средни медицинский персонал) школ здоровья: «Школа артериальной гипертензии», «Школа здорового образа жизни», «Школа сахарного диабета» и др. на предприятия и в организации.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3.4.2 Смертность от самоубийств (на 100 000 человек)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С целью профилактики суицидального поведения, в рамках информационно-образовательных мероприятий   на сайте рай ЦГЭ размещено 3 профилактических материала, издано/ переиздано ИОМ -10 шт., общим тиражом -500экз: «Подростковый суицид», «Суицид можно предотвратить», «Как понять? Что делать?» и др.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рамках проведения ЕДЗ «Всемирный день предотвращения самоубийств» проведено: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- 06.06.2023 на сайте райЦГЭ размещен информационный материал «Профилактика суицидального поведения»; «Позвонить может каждый!», 30.08.2023 – «Памятка педагогам».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в учреждениях образования района, коллективах проведены лекции на тему «Самоубийство можно предотвратить» «Признаки суицидального поведения» (охвачено 68 человек)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- на базе УЗ «Дрибинская ЦРБ» совместно со специалистами райЦГЭ проведены индивидуальный консультирования населения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- разработаны и распространены ИОМ (памятки, листовки) – 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«Подростковый суицид», «Суицид можно предотвратить», «Как понять? Что делать?», «Суицид», «Профилактика суицидального поведения», «Что делать, если вы столкнулись с суицидальными намерениями обучающего?»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3.6.1 Смертность в результате дорожно- транспортных происшествий (на 100 000 человек населения)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Сотрудниками РОВД, РОЧС проводятся профилактические беседы с учащимися школ, детских садов по соблюдению правил безопасности.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3.7.1 Доля женщин репродуктивного возраста (от 15 до 49 лет), чьи потребности по планированию семьи удовлетворяются современными методами (процент)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iCs/>
              </w:rPr>
            </w:pPr>
            <w:bookmarkStart w:id="6" w:name="_Hlk157757547"/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В УЗ «Дрибинская ЦРБ» организован кабинет планирования семьи.</w:t>
            </w:r>
            <w:r>
              <w:rPr>
                <w:rFonts w:eastAsia="Calibri" w:cs="Times New Roman" w:ascii="Calibri" w:hAnsi="Calibri"/>
                <w:bCs/>
                <w:color w:val="FF0000"/>
                <w:sz w:val="30"/>
                <w:szCs w:val="30"/>
                <w:lang w:bidi="ru-RU"/>
              </w:rPr>
              <w:t xml:space="preserve"> 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Организовано предабортное психологическое консультирования (количество сохраненных нежелательных беременностей в 2023г составило -5; в 2022г -7.</w:t>
            </w:r>
            <w:r>
              <w:rPr>
                <w:rFonts w:eastAsia="Calibri" w:cs="Times New Roman" w:ascii="Calibri" w:hAnsi="Calibri"/>
                <w:iCs/>
              </w:rPr>
              <w:t xml:space="preserve"> </w:t>
            </w:r>
            <w:bookmarkEnd w:id="6"/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3.7.2 Показатель рождаемости среди девушек - подростков (в возрасте от 10 до 14 лет и от 15 до 19 лет) на 1000 женщин в данной возрастной группе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На постоянной основе проводятся  консультирования подростков, их родителей, педагогов.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bCs/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2023г проводилась целенаправленная</w:t>
            </w:r>
            <w:r>
              <w:rPr>
                <w:rFonts w:eastAsia="Calibri" w:cs="Times New Roman" w:ascii="Calibri" w:hAnsi="Calibri"/>
                <w:bCs/>
                <w:iCs/>
                <w:sz w:val="24"/>
                <w:szCs w:val="24"/>
              </w:rPr>
              <w:t xml:space="preserve"> информационно-образовательная работа с обучающимися подросткового возраста и старших классов учреждений образования района по вопросам семейных ценностей и полового воспитания: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ГУО «Пудовнянская СШ» проведена спортивная эстафета «Здоровый ребенок – счастливая семья», охвачено 34учащихся;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В ГУО «Бельская СШ» прошел информационный час «Дом, в котором мы живем», проведена беседа «Моя семья – моё богатство», В ГУО «Михеевская СШ» проведена беседа «Я и семья» и др.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Информационные материалы </w:t>
            </w:r>
            <w:r>
              <w:rPr>
                <w:rFonts w:eastAsia="Calibri" w:cs="Times New Roman" w:ascii="Calibri" w:hAnsi="Calibri"/>
                <w:bCs/>
                <w:iCs/>
                <w:sz w:val="24"/>
                <w:szCs w:val="24"/>
              </w:rPr>
              <w:t>по вопросам семейных ценностей и полового воспитания</w:t>
            </w:r>
            <w:r>
              <w:rPr>
                <w:rFonts w:eastAsia="Calibri" w:cs="Times New Roman" w:ascii="Calibri" w:hAnsi="Calibri"/>
                <w:sz w:val="24"/>
                <w:szCs w:val="24"/>
              </w:rPr>
              <w:t xml:space="preserve"> размещаются на сайте учреждений образования, УЗ «Дрибинский рай ЦГЭ», УЗ «Дрибинская ЦРБ».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Специалистами рай ЦГЭ, медицинскими работниками территориальных врачебных участков перед учащимися проводятся выступления по профилактике здорового образа жизни, вопросам семейных ценностей и полового воспитания.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3.а.1.1 Распространенность употребления табака лицами в возрасте 16 лет и старше (%)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 xml:space="preserve">В рамках информационно-образовательной работа по формированию негативного отношения к потреблению табака проведены следующие мероприятия: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С участием настоятеля Николаевской церкви аг. Рясно в рамках Всемирного дня без табака проведена беседа с учащимися ГУО «Рясненская СШ» «Курение - вредная привычка или духовный недуг», охвачено 23 чел;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bCs/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bCs/>
                <w:iCs/>
                <w:sz w:val="24"/>
                <w:szCs w:val="24"/>
              </w:rPr>
              <w:t>в ГУО «Пудовнянская СШ» проведена лекция: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 xml:space="preserve"> «О вреде курения и потребления наркотиков» (19 чел), в ГУО «Темнолесская БШ» проведено выступление на тему: «Сохрани свое здоровье» (15 чел);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Совместно с работниками библиотечной сети с учащимися ГУО «Ряснянская СШИ»  проведена викторина «Мое отношение к здоровому образу жизни» (25 чел);</w:t>
            </w:r>
          </w:p>
          <w:p>
            <w:pPr>
              <w:pStyle w:val="Normal"/>
              <w:spacing w:lineRule="auto" w:line="240" w:before="0" w:after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Информационно-пропагандистская работа по противодействию никотиновой зависимостью проводится в рамках проведения профилактических акций, путем трансляции видеороликов на светодиодном экране РЦК. В сельских домах культуры, в РЦК с профилактической целью проводился показ видеороликов как для населения, так и для учащихся школ: «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  <w:lang w:val="en-US"/>
              </w:rPr>
              <w:t>No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  <w:lang w:val="en-US"/>
              </w:rPr>
              <w:t>smoking</w:t>
            </w: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», «Секреты манипуляции.Табак», «Вред курения для школьников и подростков», Мультролик «Тайна едкого дыма», «Вейп,снюс,айкос. Как бросить курить», «Влияние курения на организм человека» и др.</w:t>
            </w:r>
          </w:p>
          <w:p>
            <w:pPr>
              <w:pStyle w:val="Normal"/>
              <w:spacing w:lineRule="auto" w:line="240" w:before="0" w:after="0"/>
              <w:ind w:firstLine="821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 xml:space="preserve">С целью повышения уровня знаний у учащихся по вопросам сохранения и укрепления здоровья, профилактики неинфекционных заболеваний проводятся профилактические беседы, лекции. На классных часах, уроках здоровья в 2023г было обеспечено выступление медицинских работников по темам: «Электронные сигареты», «О вреде курения», «Будь здоров, подросток!», «ЗОЖ» и другие, охвачено 245 учащихся школ. </w:t>
            </w:r>
          </w:p>
          <w:p>
            <w:pPr>
              <w:pStyle w:val="Normal"/>
              <w:spacing w:lineRule="auto" w:line="240" w:before="0" w:after="0"/>
              <w:ind w:firstLine="821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На территории района созданы 3 зоны свободные от курения: парк «Центральный», парк «Капелька», «Детская площадка».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 xml:space="preserve">В рамках ЕДЗ «Всемирный день без табака» были организованы беседы с подростками (бесед 3, охвачено 68 человек).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iCs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 xml:space="preserve">Разработаны и распространены информационно-образовательные материалы:3 памятки - тиражом 150 экземпляров; 4 листовки - тиражом 200 экземпляров, 1 буклет – тиражом 50 экземпляров.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 xml:space="preserve">Осуществлялась трансляция видеороликов на светодиодном экране, расположенном на Дрибинском РЦК, а также в учреждениях образования среди учащихся в возрасте 16 лет и старше. </w:t>
            </w:r>
          </w:p>
        </w:tc>
      </w:tr>
      <w:tr>
        <w:trPr/>
        <w:tc>
          <w:tcPr>
            <w:tcW w:w="9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</w:rPr>
              <w:t>3.b.2 Общий чистый объем официальной помощи в целях развития, направленной на медицинские исследования и в основные отрасли здравоохранения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iCs/>
                <w:sz w:val="24"/>
                <w:szCs w:val="24"/>
              </w:rPr>
              <w:t>Освоено средств, выделяемых на развитие здравоохранения в рамках выполнения целевых показателей Государственной программы «Здоровье народа и демографическая безопасность» на 2021-2025 годы в 2023 году (99,53 %), в т.ч.  в сравнении с 2022 годом-124,37%.</w:t>
            </w:r>
          </w:p>
        </w:tc>
      </w:tr>
    </w:tbl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701" w:right="850" w:header="709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00" w:characterSet="iso-8859-1"/>
    <w:family w:val="roman"/>
    <w:pitch w:val="variable"/>
  </w:font>
  <w:font w:name="Tahoma"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291e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93238d"/>
    <w:rPr>
      <w:rFonts w:ascii="Times New Roman" w:hAnsi="Times New Roman" w:eastAsia="Calibri" w:cs="Times New Roman"/>
      <w:sz w:val="28"/>
      <w:lang w:val="x-none"/>
    </w:rPr>
  </w:style>
  <w:style w:type="character" w:styleId="Style15" w:customStyle="1">
    <w:name w:val="Основной текст_"/>
    <w:basedOn w:val="DefaultParagraphFont"/>
    <w:link w:val="1"/>
    <w:qFormat/>
    <w:locked/>
    <w:rsid w:val="00f30564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260cf"/>
    <w:rPr>
      <w:rFonts w:ascii="Tahoma" w:hAnsi="Tahoma" w:eastAsia="Calibri" w:cs="Tahoma"/>
      <w:sz w:val="16"/>
      <w:szCs w:val="16"/>
    </w:rPr>
  </w:style>
  <w:style w:type="character" w:styleId="Style17" w:customStyle="1">
    <w:name w:val="Основной текст с отступом Знак"/>
    <w:basedOn w:val="DefaultParagraphFont"/>
    <w:link w:val="a9"/>
    <w:qFormat/>
    <w:rsid w:val="000d1f9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rong">
    <w:name w:val="Strong"/>
    <w:uiPriority w:val="22"/>
    <w:qFormat/>
    <w:rsid w:val="000d1f90"/>
    <w:rPr>
      <w:b/>
      <w:bCs/>
    </w:rPr>
  </w:style>
  <w:style w:type="character" w:styleId="3" w:customStyle="1">
    <w:name w:val="Основной текст 3 Знак"/>
    <w:basedOn w:val="DefaultParagraphFont"/>
    <w:link w:val="3"/>
    <w:qFormat/>
    <w:rsid w:val="000d1f9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a4"/>
    <w:uiPriority w:val="99"/>
    <w:unhideWhenUsed/>
    <w:rsid w:val="0093238d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  <w:ind w:hanging="0"/>
      <w:jc w:val="start"/>
    </w:pPr>
    <w:rPr>
      <w:lang w:val="x-none"/>
    </w:rPr>
  </w:style>
  <w:style w:type="paragraph" w:styleId="1" w:customStyle="1">
    <w:name w:val="Основной текст1"/>
    <w:basedOn w:val="Normal"/>
    <w:link w:val="a6"/>
    <w:qFormat/>
    <w:rsid w:val="00f30564"/>
    <w:pPr>
      <w:widowControl w:val="false"/>
      <w:shd w:val="clear" w:color="auto" w:fill="FFFFFF"/>
      <w:spacing w:lineRule="auto" w:line="254"/>
      <w:ind w:firstLine="400"/>
      <w:jc w:val="start"/>
    </w:pPr>
    <w:rPr>
      <w:rFonts w:eastAsia="Times New Roman"/>
      <w:szCs w:val="2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260cf"/>
    <w:pPr/>
    <w:rPr>
      <w:rFonts w:ascii="Tahoma" w:hAnsi="Tahoma" w:cs="Tahoma"/>
      <w:sz w:val="16"/>
      <w:szCs w:val="16"/>
    </w:rPr>
  </w:style>
  <w:style w:type="paragraph" w:styleId="TextBodyIndent">
    <w:name w:val="Body Text Indent"/>
    <w:basedOn w:val="Normal"/>
    <w:link w:val="aa"/>
    <w:rsid w:val="000d1f90"/>
    <w:pPr>
      <w:ind w:hanging="0"/>
      <w:jc w:val="start"/>
    </w:pPr>
    <w:rPr>
      <w:rFonts w:eastAsia="Times New Roman"/>
      <w:sz w:val="24"/>
      <w:szCs w:val="20"/>
      <w:lang w:eastAsia="ru-RU"/>
    </w:rPr>
  </w:style>
  <w:style w:type="paragraph" w:styleId="BodyText3">
    <w:name w:val="Body Text 3"/>
    <w:basedOn w:val="Normal"/>
    <w:link w:val="30"/>
    <w:qFormat/>
    <w:rsid w:val="000d1f90"/>
    <w:pPr>
      <w:spacing w:before="0" w:after="120"/>
      <w:ind w:hanging="0"/>
      <w:jc w:val="start"/>
    </w:pPr>
    <w:rPr>
      <w:rFonts w:eastAsia="Times New Roman"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238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LibreOffice/6.1.5.2$Linux_X86_64 LibreOffice_project/10$Build-2</Application>
  <Pages>17</Pages>
  <Words>4196</Words>
  <Characters>23921</Characters>
  <CharactersWithSpaces>28061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2024-01-12T13:24:00Z</dcterms:created>
  <dc:creator>Ваймачева НН</dc:creator>
  <dc:description/>
  <dc:language>en-US</dc:language>
  <cp:lastModifiedBy>ЦГЭ Дрибин</cp:lastModifiedBy>
  <cp:lastPrinted>2024-01-12T13:32:00Z</cp:lastPrinted>
  <dcterms:modified xsi:type="dcterms:W3CDTF">2024-11-18T09:40:00Z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